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CellMar>
          <w:left w:w="0" w:type="dxa"/>
          <w:right w:w="0" w:type="dxa"/>
        </w:tblCellMar>
        <w:tblLook w:val="04A0" w:firstRow="1" w:lastRow="0" w:firstColumn="1" w:lastColumn="0" w:noHBand="0" w:noVBand="1"/>
      </w:tblPr>
      <w:tblGrid>
        <w:gridCol w:w="1713"/>
        <w:gridCol w:w="1571"/>
        <w:gridCol w:w="1701"/>
        <w:gridCol w:w="1418"/>
        <w:gridCol w:w="2102"/>
      </w:tblGrid>
      <w:tr w:rsidR="00A967DF" w:rsidRPr="00A967DF" w:rsidTr="00A967DF">
        <w:trPr>
          <w:trHeight w:val="1213"/>
          <w:tblHeader/>
          <w:jc w:val="center"/>
        </w:trPr>
        <w:tc>
          <w:tcPr>
            <w:tcW w:w="6403"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A967DF" w:rsidRPr="00A967DF" w:rsidRDefault="00A967DF" w:rsidP="00A967DF">
            <w:pPr>
              <w:spacing w:after="0" w:line="240" w:lineRule="auto"/>
              <w:ind w:left="95"/>
              <w:rPr>
                <w:rFonts w:ascii="Times New Roman" w:eastAsia="Times New Roman" w:hAnsi="Times New Roman"/>
                <w:sz w:val="24"/>
                <w:szCs w:val="24"/>
                <w:lang w:eastAsia="en-GB"/>
              </w:rPr>
            </w:pPr>
            <w:r w:rsidRPr="00A967DF">
              <w:rPr>
                <w:rFonts w:ascii="Arial" w:eastAsia="Times New Roman" w:hAnsi="Arial" w:cs="Arial"/>
                <w:color w:val="000000"/>
                <w:sz w:val="24"/>
                <w:szCs w:val="24"/>
                <w:lang w:eastAsia="en-GB"/>
              </w:rPr>
              <w:t>Service Levels</w:t>
            </w:r>
          </w:p>
        </w:tc>
        <w:tc>
          <w:tcPr>
            <w:tcW w:w="2102"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967DF" w:rsidRPr="00A967DF" w:rsidRDefault="00A967DF" w:rsidP="00A967DF">
            <w:pPr>
              <w:spacing w:after="0" w:line="240" w:lineRule="auto"/>
              <w:ind w:left="95"/>
              <w:rPr>
                <w:rFonts w:ascii="Times New Roman" w:eastAsia="Times New Roman" w:hAnsi="Times New Roman"/>
                <w:sz w:val="24"/>
                <w:szCs w:val="24"/>
                <w:lang w:eastAsia="en-GB"/>
              </w:rPr>
            </w:pPr>
            <w:r w:rsidRPr="00A967DF">
              <w:rPr>
                <w:rFonts w:ascii="Arial" w:eastAsia="Times New Roman" w:hAnsi="Arial" w:cs="Arial"/>
                <w:color w:val="000000"/>
                <w:sz w:val="24"/>
                <w:szCs w:val="24"/>
                <w:lang w:eastAsia="en-GB"/>
              </w:rPr>
              <w:t>Service Credit for each Service Period</w:t>
            </w:r>
          </w:p>
          <w:p w:rsidR="00A967DF" w:rsidRPr="00A967DF" w:rsidRDefault="00A967DF" w:rsidP="00A967DF">
            <w:pPr>
              <w:spacing w:after="0" w:line="240" w:lineRule="auto"/>
              <w:ind w:left="95"/>
              <w:rPr>
                <w:rFonts w:ascii="Times New Roman" w:eastAsia="Times New Roman" w:hAnsi="Times New Roman"/>
                <w:sz w:val="24"/>
                <w:szCs w:val="24"/>
                <w:lang w:eastAsia="en-GB"/>
              </w:rPr>
            </w:pPr>
            <w:r w:rsidRPr="00A967DF">
              <w:rPr>
                <w:rFonts w:ascii="Arial" w:eastAsia="Times New Roman" w:hAnsi="Arial" w:cs="Arial"/>
                <w:sz w:val="24"/>
                <w:szCs w:val="24"/>
                <w:lang w:eastAsia="en-GB"/>
              </w:rPr>
              <w:t> </w:t>
            </w:r>
          </w:p>
        </w:tc>
      </w:tr>
      <w:tr w:rsidR="00A967DF" w:rsidRPr="00A967DF" w:rsidTr="00A967DF">
        <w:trPr>
          <w:trHeight w:val="1213"/>
          <w:tblHeader/>
          <w:jc w:val="center"/>
        </w:trPr>
        <w:tc>
          <w:tcPr>
            <w:tcW w:w="1713"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A967DF" w:rsidRPr="00A967DF" w:rsidRDefault="00A967DF" w:rsidP="00A967DF">
            <w:pPr>
              <w:spacing w:after="0" w:line="240" w:lineRule="auto"/>
              <w:ind w:left="61"/>
              <w:rPr>
                <w:rFonts w:ascii="Times New Roman" w:eastAsia="Times New Roman" w:hAnsi="Times New Roman"/>
                <w:sz w:val="24"/>
                <w:szCs w:val="24"/>
                <w:lang w:eastAsia="en-GB"/>
              </w:rPr>
            </w:pPr>
            <w:r w:rsidRPr="00A967DF">
              <w:rPr>
                <w:rFonts w:ascii="Arial" w:eastAsia="Times New Roman" w:hAnsi="Arial" w:cs="Arial"/>
                <w:color w:val="000000"/>
                <w:sz w:val="24"/>
                <w:szCs w:val="24"/>
                <w:lang w:eastAsia="en-GB"/>
              </w:rPr>
              <w:t>Service Level Performance Criterion</w:t>
            </w:r>
          </w:p>
        </w:tc>
        <w:tc>
          <w:tcPr>
            <w:tcW w:w="157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967DF" w:rsidRPr="00A967DF" w:rsidRDefault="00A967DF" w:rsidP="00A967DF">
            <w:pPr>
              <w:spacing w:after="0" w:line="240" w:lineRule="auto"/>
              <w:ind w:left="95"/>
              <w:rPr>
                <w:rFonts w:ascii="Times New Roman" w:eastAsia="Times New Roman" w:hAnsi="Times New Roman"/>
                <w:sz w:val="24"/>
                <w:szCs w:val="24"/>
                <w:lang w:eastAsia="en-GB"/>
              </w:rPr>
            </w:pPr>
            <w:r w:rsidRPr="00A967DF">
              <w:rPr>
                <w:rFonts w:ascii="Arial" w:eastAsia="Times New Roman" w:hAnsi="Arial" w:cs="Arial"/>
                <w:color w:val="000000"/>
                <w:sz w:val="24"/>
                <w:szCs w:val="24"/>
                <w:lang w:eastAsia="en-GB"/>
              </w:rPr>
              <w:t>Key Indicator</w:t>
            </w:r>
          </w:p>
        </w:tc>
        <w:tc>
          <w:tcPr>
            <w:tcW w:w="170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A967DF" w:rsidRPr="00A967DF" w:rsidRDefault="00A967DF" w:rsidP="00A967DF">
            <w:pPr>
              <w:spacing w:after="0" w:line="240" w:lineRule="auto"/>
              <w:rPr>
                <w:rFonts w:ascii="Times New Roman" w:eastAsia="Times New Roman" w:hAnsi="Times New Roman"/>
                <w:sz w:val="24"/>
                <w:szCs w:val="24"/>
                <w:lang w:eastAsia="en-GB"/>
              </w:rPr>
            </w:pPr>
            <w:r w:rsidRPr="00A967DF">
              <w:rPr>
                <w:rFonts w:ascii="Arial" w:eastAsia="Times New Roman" w:hAnsi="Arial" w:cs="Arial"/>
                <w:color w:val="000000"/>
                <w:sz w:val="24"/>
                <w:szCs w:val="24"/>
                <w:lang w:eastAsia="en-GB"/>
              </w:rPr>
              <w:t>Service Level Performance Measure</w:t>
            </w:r>
          </w:p>
        </w:tc>
        <w:tc>
          <w:tcPr>
            <w:tcW w:w="141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A967DF" w:rsidRPr="00A967DF" w:rsidRDefault="00A967DF" w:rsidP="00A967DF">
            <w:pPr>
              <w:spacing w:after="0" w:line="240" w:lineRule="auto"/>
              <w:ind w:left="95"/>
              <w:rPr>
                <w:rFonts w:ascii="Times New Roman" w:eastAsia="Times New Roman" w:hAnsi="Times New Roman"/>
                <w:sz w:val="24"/>
                <w:szCs w:val="24"/>
                <w:lang w:eastAsia="en-GB"/>
              </w:rPr>
            </w:pPr>
            <w:r w:rsidRPr="00A967DF">
              <w:rPr>
                <w:rFonts w:ascii="Arial" w:eastAsia="Times New Roman" w:hAnsi="Arial" w:cs="Arial"/>
                <w:color w:val="000000"/>
                <w:sz w:val="24"/>
                <w:szCs w:val="24"/>
                <w:lang w:eastAsia="en-GB"/>
              </w:rPr>
              <w:t>Service Level Threshold</w:t>
            </w:r>
          </w:p>
        </w:tc>
        <w:tc>
          <w:tcPr>
            <w:tcW w:w="0" w:type="auto"/>
            <w:vMerge/>
            <w:tcBorders>
              <w:top w:val="single" w:sz="8" w:space="0" w:color="auto"/>
              <w:left w:val="nil"/>
              <w:bottom w:val="single" w:sz="8" w:space="0" w:color="auto"/>
              <w:right w:val="single" w:sz="8" w:space="0" w:color="auto"/>
            </w:tcBorders>
            <w:vAlign w:val="center"/>
            <w:hideMark/>
          </w:tcPr>
          <w:p w:rsidR="00A967DF" w:rsidRPr="00A967DF" w:rsidRDefault="00A967DF" w:rsidP="00A967DF">
            <w:pPr>
              <w:spacing w:after="0" w:line="240" w:lineRule="auto"/>
              <w:rPr>
                <w:rFonts w:ascii="Times New Roman" w:eastAsia="Times New Roman" w:hAnsi="Times New Roman"/>
                <w:sz w:val="24"/>
                <w:szCs w:val="24"/>
                <w:lang w:eastAsia="en-GB"/>
              </w:rPr>
            </w:pPr>
          </w:p>
        </w:tc>
      </w:tr>
      <w:tr w:rsidR="00A967DF" w:rsidRPr="00A967DF" w:rsidTr="00A967DF">
        <w:trPr>
          <w:trHeight w:val="1474"/>
          <w:jc w:val="center"/>
        </w:trPr>
        <w:tc>
          <w:tcPr>
            <w:tcW w:w="17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67DF" w:rsidRPr="00A967DF" w:rsidRDefault="00A967DF" w:rsidP="00A967DF">
            <w:pPr>
              <w:spacing w:after="120" w:line="240" w:lineRule="auto"/>
              <w:ind w:left="95"/>
              <w:rPr>
                <w:rFonts w:ascii="Times New Roman" w:eastAsia="Times New Roman" w:hAnsi="Times New Roman"/>
                <w:sz w:val="24"/>
                <w:szCs w:val="24"/>
                <w:lang w:eastAsia="en-GB"/>
              </w:rPr>
            </w:pPr>
            <w:r w:rsidRPr="00A967DF">
              <w:rPr>
                <w:rFonts w:ascii="Arial" w:eastAsia="Times New Roman" w:hAnsi="Arial" w:cs="Arial"/>
                <w:sz w:val="24"/>
                <w:szCs w:val="24"/>
                <w:lang w:eastAsia="en-GB"/>
              </w:rPr>
              <w:t>Timely provision of the Products - Products are to be supplied within 6 days of the order being placed by the Customer (or as agreed by the Customer’s Demanding Officer placing the order)</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rsidR="00A967DF" w:rsidRPr="00A967DF" w:rsidRDefault="00A967DF" w:rsidP="00A967DF">
            <w:pPr>
              <w:spacing w:after="120" w:line="240" w:lineRule="auto"/>
              <w:ind w:left="95"/>
              <w:rPr>
                <w:rFonts w:ascii="Times New Roman" w:eastAsia="Times New Roman" w:hAnsi="Times New Roman"/>
                <w:sz w:val="24"/>
                <w:szCs w:val="24"/>
                <w:lang w:eastAsia="en-GB"/>
              </w:rPr>
            </w:pPr>
            <w:r w:rsidRPr="00A967DF">
              <w:rPr>
                <w:rFonts w:ascii="Arial" w:eastAsia="Times New Roman" w:hAnsi="Arial" w:cs="Arial"/>
                <w:sz w:val="24"/>
                <w:szCs w:val="24"/>
                <w:lang w:eastAsia="en-GB"/>
              </w:rPr>
              <w:t>Delivery of the Products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A967DF" w:rsidRPr="00A967DF" w:rsidRDefault="00A967DF" w:rsidP="00A967DF">
            <w:pPr>
              <w:spacing w:after="120" w:line="240" w:lineRule="auto"/>
              <w:ind w:left="95"/>
              <w:rPr>
                <w:rFonts w:ascii="Times New Roman" w:eastAsia="Times New Roman" w:hAnsi="Times New Roman"/>
                <w:sz w:val="24"/>
                <w:szCs w:val="24"/>
                <w:lang w:eastAsia="en-GB"/>
              </w:rPr>
            </w:pPr>
            <w:r w:rsidRPr="00A967DF">
              <w:rPr>
                <w:rFonts w:ascii="Arial" w:eastAsia="Times New Roman" w:hAnsi="Arial" w:cs="Arial"/>
                <w:sz w:val="24"/>
                <w:szCs w:val="24"/>
                <w:lang w:eastAsia="en-GB"/>
              </w:rPr>
              <w:t>at least 100% at all times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A967DF" w:rsidRPr="00A967DF" w:rsidRDefault="00A967DF" w:rsidP="00A967DF">
            <w:pPr>
              <w:spacing w:after="120" w:line="240" w:lineRule="auto"/>
              <w:ind w:left="95"/>
              <w:rPr>
                <w:rFonts w:ascii="Times New Roman" w:eastAsia="Times New Roman" w:hAnsi="Times New Roman"/>
                <w:sz w:val="24"/>
                <w:szCs w:val="24"/>
                <w:lang w:eastAsia="en-GB"/>
              </w:rPr>
            </w:pPr>
            <w:r w:rsidRPr="00A967DF">
              <w:rPr>
                <w:rFonts w:ascii="Arial" w:eastAsia="Times New Roman" w:hAnsi="Arial" w:cs="Arial"/>
                <w:sz w:val="24"/>
                <w:szCs w:val="24"/>
                <w:lang w:eastAsia="en-GB"/>
              </w:rPr>
              <w:t>0%</w:t>
            </w:r>
          </w:p>
        </w:tc>
        <w:tc>
          <w:tcPr>
            <w:tcW w:w="2102" w:type="dxa"/>
            <w:tcBorders>
              <w:top w:val="nil"/>
              <w:left w:val="nil"/>
              <w:bottom w:val="single" w:sz="8" w:space="0" w:color="auto"/>
              <w:right w:val="single" w:sz="8" w:space="0" w:color="auto"/>
            </w:tcBorders>
            <w:tcMar>
              <w:top w:w="0" w:type="dxa"/>
              <w:left w:w="108" w:type="dxa"/>
              <w:bottom w:w="0" w:type="dxa"/>
              <w:right w:w="108" w:type="dxa"/>
            </w:tcMar>
            <w:hideMark/>
          </w:tcPr>
          <w:p w:rsidR="00A967DF" w:rsidRPr="00A967DF" w:rsidRDefault="00A967DF" w:rsidP="00A967DF">
            <w:pPr>
              <w:spacing w:after="120" w:line="240" w:lineRule="auto"/>
              <w:ind w:left="95"/>
              <w:rPr>
                <w:rFonts w:ascii="Times New Roman" w:eastAsia="Times New Roman" w:hAnsi="Times New Roman"/>
                <w:sz w:val="24"/>
                <w:szCs w:val="24"/>
                <w:lang w:eastAsia="en-GB"/>
              </w:rPr>
            </w:pPr>
            <w:r w:rsidRPr="00A967DF">
              <w:rPr>
                <w:rFonts w:ascii="Arial" w:eastAsia="Times New Roman" w:hAnsi="Arial" w:cs="Arial"/>
                <w:sz w:val="24"/>
                <w:szCs w:val="24"/>
                <w:lang w:eastAsia="en-GB"/>
              </w:rPr>
              <w:t xml:space="preserve">1% Service Credit gained for each working </w:t>
            </w:r>
            <w:proofErr w:type="gramStart"/>
            <w:r w:rsidRPr="00A967DF">
              <w:rPr>
                <w:rFonts w:ascii="Arial" w:eastAsia="Times New Roman" w:hAnsi="Arial" w:cs="Arial"/>
                <w:sz w:val="24"/>
                <w:szCs w:val="24"/>
                <w:lang w:eastAsia="en-GB"/>
              </w:rPr>
              <w:t>days</w:t>
            </w:r>
            <w:proofErr w:type="gramEnd"/>
            <w:r w:rsidRPr="00A967DF">
              <w:rPr>
                <w:rFonts w:ascii="Arial" w:eastAsia="Times New Roman" w:hAnsi="Arial" w:cs="Arial"/>
                <w:sz w:val="24"/>
                <w:szCs w:val="24"/>
                <w:lang w:eastAsia="en-GB"/>
              </w:rPr>
              <w:t xml:space="preserve"> delay under the specified Service Level Performance Measure (up to a maximum of 10% per order)</w:t>
            </w:r>
          </w:p>
        </w:tc>
      </w:tr>
    </w:tbl>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1.</w:t>
      </w:r>
      <w:r w:rsidRPr="00A967DF">
        <w:rPr>
          <w:rFonts w:ascii="Times New Roman" w:eastAsia="Times New Roman" w:hAnsi="Times New Roman"/>
          <w:color w:val="222222"/>
          <w:sz w:val="14"/>
          <w:szCs w:val="14"/>
          <w:lang w:eastAsia="en-GB"/>
        </w:rPr>
        <w:t>            </w:t>
      </w:r>
      <w:r w:rsidRPr="00A967DF">
        <w:rPr>
          <w:rFonts w:ascii="Arial Bold" w:eastAsia="Times New Roman" w:hAnsi="Arial Bold" w:cs="Arial Bold"/>
          <w:color w:val="222222"/>
          <w:sz w:val="24"/>
          <w:szCs w:val="24"/>
          <w:lang w:eastAsia="en-GB"/>
        </w:rPr>
        <w:t>The Service Credits shall be calculated on the basis of the following formula:</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1.1</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 xml:space="preserve">For each working </w:t>
      </w:r>
      <w:proofErr w:type="gramStart"/>
      <w:r w:rsidRPr="00A967DF">
        <w:rPr>
          <w:rFonts w:ascii="Arial" w:eastAsia="Times New Roman" w:hAnsi="Arial" w:cs="Arial"/>
          <w:color w:val="222222"/>
          <w:sz w:val="24"/>
          <w:szCs w:val="24"/>
          <w:lang w:eastAsia="en-GB"/>
        </w:rPr>
        <w:t>days</w:t>
      </w:r>
      <w:proofErr w:type="gramEnd"/>
      <w:r w:rsidRPr="00A967DF">
        <w:rPr>
          <w:rFonts w:ascii="Arial" w:eastAsia="Times New Roman" w:hAnsi="Arial" w:cs="Arial"/>
          <w:color w:val="222222"/>
          <w:sz w:val="24"/>
          <w:szCs w:val="24"/>
          <w:lang w:eastAsia="en-GB"/>
        </w:rPr>
        <w:t xml:space="preserve"> delay of an order being delivered to the Customer, the Supplier shall pay the Customer 1% of the total Supplier Premium value for that order up to a maximum of 10% of the total Supplier Premium value for that order in the form of a Service Credit. The Service Credit value is not to exceed 10% of the total Premium of the order it was accrued against.</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1.2</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If the Supplier is unable to deliver an order within 6 working days of the order being placed by the Customer, the Supplier should notify the Customer at the time the order is placed of the earliest date in which the order can be delivered to the Customer. If the Customer agrees to this new date proposed by the Supplier outside of the agreed 6 working days, this new date will form the new agreed delivery date. The calculations for Service Credits described in Clause 1.1 above will apply to any delay in delivery of an order against the newly agreed delivery date.</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lastRenderedPageBreak/>
        <w:t>1.3</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Service Credits will be applied to the order for which they were accrued. The Supplier will make it clear if any Service Credits have been applied to any orders.</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1.4</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There is no aggregate Service Credit cap – Service Credits will be applied independently on a ‘per order’ basis and will be subject to the restrictions in Clause 1.1 above.</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w:t>
      </w:r>
      <w:r w:rsidRPr="00A967DF">
        <w:rPr>
          <w:rFonts w:ascii="Times New Roman" w:eastAsia="Times New Roman" w:hAnsi="Times New Roman"/>
          <w:color w:val="222222"/>
          <w:sz w:val="14"/>
          <w:szCs w:val="14"/>
          <w:lang w:eastAsia="en-GB"/>
        </w:rPr>
        <w:t>            </w:t>
      </w:r>
      <w:r w:rsidRPr="00A967DF">
        <w:rPr>
          <w:rFonts w:ascii="Arial Bold" w:eastAsia="Times New Roman" w:hAnsi="Arial Bold" w:cs="Arial Bold"/>
          <w:color w:val="222222"/>
          <w:sz w:val="24"/>
          <w:szCs w:val="24"/>
          <w:lang w:eastAsia="en-GB"/>
        </w:rPr>
        <w:t>SERVICE CREDIT WORKED EXAMPLE</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2.1</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Supplier makes a delivery to the Customer within 8 working days of the Customer placing an order, with no agreement that the delivery would be outside of the standard 6 working day delivery period; the Supplier premium for this order is £100.</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2.1.1</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delivery was 2 working days outside of the agreed Service level, and therefore attracts a Service Credit of 2%.</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2.1.2</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A 1% Service credit against the Supplier Premium is £1, a 2% Service credit against this Supplier Premium is £2.</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2.1.3</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Supplier Premium payable for this invoice would be: ‘Total Supplier Premium - Service Credits applied for this order = Total Supplier Premium payable by the Customer’ ‘£100 - £2 = £98’</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2.2</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Supplier makes a delivery to the Customer within 18 working days of the Customer placing an order, with no agreement that the delivery would be outside of the standard 6 working day delivery period; the Supplier premium for this order is £100.</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2.2.1</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delivery was 12 working days outside of the agreed Service level, and therefore attracts the maximum Service Credit applicable to a single order of 10%.</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2.2.2</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A 1% Service Credit against the Supplier Premium is £1, a 10% Service Credit against this Supplier Premium is £10.</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2.2.3</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Supplier Premium payable for this invoice would be: ‘Total Supplier Premium - Service Credits applied for this order = Total Supplier Premium payable by the Customer’ ‘£100 - £10 = £90’</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2.3</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Supplier makes a delivery to the Customer within 13 working days of the Customer placing an order, and the Customer agreed at the time the order was placed that delivery period could be extended to 9 days at the Supplier’s request; the Supplier Premium for this order is £100.</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2.3.1</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delivery was 4 working days outside of the agreed Service level, and therefore attracts a Service Credit of 4%.</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lastRenderedPageBreak/>
        <w:t>2.3.2</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A 1% Service credit against the Supplier Premium is £1, a 4% Service credit against this Supplier Premium is £4.</w:t>
      </w:r>
    </w:p>
    <w:p w:rsidR="00A967DF" w:rsidRPr="00A967DF" w:rsidRDefault="00A967DF" w:rsidP="00A967DF">
      <w:pPr>
        <w:shd w:val="clear" w:color="auto" w:fill="FFFFFF"/>
        <w:spacing w:before="100" w:beforeAutospacing="1" w:after="100" w:afterAutospacing="1" w:line="240" w:lineRule="auto"/>
        <w:rPr>
          <w:rFonts w:ascii="Arial" w:eastAsia="Times New Roman" w:hAnsi="Arial" w:cs="Arial"/>
          <w:color w:val="222222"/>
          <w:sz w:val="24"/>
          <w:szCs w:val="24"/>
          <w:lang w:eastAsia="en-GB"/>
        </w:rPr>
      </w:pPr>
      <w:r w:rsidRPr="00A967DF">
        <w:rPr>
          <w:rFonts w:ascii="Arial" w:eastAsia="Times New Roman" w:hAnsi="Arial" w:cs="Arial"/>
          <w:color w:val="222222"/>
          <w:sz w:val="24"/>
          <w:szCs w:val="24"/>
          <w:lang w:eastAsia="en-GB"/>
        </w:rPr>
        <w:t>2.3.3</w:t>
      </w:r>
      <w:r w:rsidRPr="00A967DF">
        <w:rPr>
          <w:rFonts w:ascii="Times New Roman" w:eastAsia="Times New Roman" w:hAnsi="Times New Roman"/>
          <w:color w:val="222222"/>
          <w:sz w:val="14"/>
          <w:szCs w:val="14"/>
          <w:lang w:eastAsia="en-GB"/>
        </w:rPr>
        <w:t>         </w:t>
      </w:r>
      <w:r w:rsidRPr="00A967DF">
        <w:rPr>
          <w:rFonts w:ascii="Arial" w:eastAsia="Times New Roman" w:hAnsi="Arial" w:cs="Arial"/>
          <w:color w:val="222222"/>
          <w:sz w:val="24"/>
          <w:szCs w:val="24"/>
          <w:lang w:eastAsia="en-GB"/>
        </w:rPr>
        <w:t>The Supplier Premium payable for this invoice would be: ‘Total Supplier Premium - Service Credits applied for this order = Total Supplier Premium payable by the Customer’ ‘£100 - £4 = £96</w:t>
      </w:r>
    </w:p>
    <w:p w:rsidR="005D1C56" w:rsidRPr="00091B0C" w:rsidRDefault="005D1C56" w:rsidP="00A967DF">
      <w:pPr>
        <w:rPr>
          <w:rFonts w:ascii="Arial" w:hAnsi="Arial" w:cs="Arial"/>
          <w:sz w:val="24"/>
          <w:szCs w:val="24"/>
          <w:highlight w:val="green"/>
        </w:rPr>
      </w:pPr>
    </w:p>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Start w:id="73"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3968" w:rsidRDefault="00193968">
      <w:pPr>
        <w:spacing w:after="0" w:line="240" w:lineRule="auto"/>
      </w:pPr>
      <w:r>
        <w:separator/>
      </w:r>
    </w:p>
  </w:endnote>
  <w:endnote w:type="continuationSeparator" w:id="0">
    <w:p w:rsidR="00193968" w:rsidRDefault="00193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7A34C1">
      <w:rPr>
        <w:rFonts w:ascii="Arial" w:hAnsi="Arial" w:cs="Arial"/>
        <w:noProof/>
        <w:sz w:val="20"/>
      </w:rPr>
      <w:t>1</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3968" w:rsidRDefault="00193968">
      <w:pPr>
        <w:spacing w:after="0" w:line="240" w:lineRule="auto"/>
      </w:pPr>
      <w:r>
        <w:separator/>
      </w:r>
    </w:p>
  </w:footnote>
  <w:footnote w:type="continuationSeparator" w:id="0">
    <w:p w:rsidR="00193968" w:rsidRDefault="001939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r w:rsidR="00A967DF">
      <w:rPr>
        <w:rFonts w:ascii="Arial" w:hAnsi="Arial" w:cs="Arial"/>
        <w:sz w:val="20"/>
      </w:rPr>
      <w:t xml:space="preserve"> </w:t>
    </w:r>
    <w:r w:rsidR="00A967DF">
      <w:rPr>
        <w:rFonts w:ascii="Segoe UI" w:hAnsi="Segoe UI" w:cs="Segoe UI"/>
        <w:color w:val="181818"/>
        <w:sz w:val="21"/>
        <w:szCs w:val="21"/>
        <w:shd w:val="clear" w:color="auto" w:fill="FFFFFF"/>
      </w:rPr>
      <w:t>CCEN23A02</w:t>
    </w:r>
  </w:p>
  <w:p w:rsidR="00A10500" w:rsidRPr="00091B0C" w:rsidRDefault="00C0475D">
    <w:pPr>
      <w:pStyle w:val="Header"/>
      <w:rPr>
        <w:rFonts w:ascii="Arial" w:hAnsi="Arial" w:cs="Arial"/>
        <w:sz w:val="20"/>
      </w:rPr>
    </w:pPr>
    <w:r>
      <w:rPr>
        <w:rFonts w:ascii="Arial" w:hAnsi="Arial" w:cs="Arial"/>
        <w:sz w:val="20"/>
      </w:rPr>
      <w:t>Crown Copyright 2020</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93968"/>
    <w:rsid w:val="003D59D3"/>
    <w:rsid w:val="003D7FE9"/>
    <w:rsid w:val="00513AA2"/>
    <w:rsid w:val="005D1C56"/>
    <w:rsid w:val="006851D5"/>
    <w:rsid w:val="006A11C8"/>
    <w:rsid w:val="006D74B7"/>
    <w:rsid w:val="006F25A9"/>
    <w:rsid w:val="007A34C1"/>
    <w:rsid w:val="007B12F6"/>
    <w:rsid w:val="009674CA"/>
    <w:rsid w:val="00A10500"/>
    <w:rsid w:val="00A967DF"/>
    <w:rsid w:val="00AE1DBE"/>
    <w:rsid w:val="00AF2064"/>
    <w:rsid w:val="00AF691E"/>
    <w:rsid w:val="00B415E4"/>
    <w:rsid w:val="00B82633"/>
    <w:rsid w:val="00BC7C20"/>
    <w:rsid w:val="00C0475D"/>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0A03B7"/>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039861952">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8742F-59A8-43AB-8352-31A34E52A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4</cp:revision>
  <dcterms:created xsi:type="dcterms:W3CDTF">2020-08-20T13:38:00Z</dcterms:created>
  <dcterms:modified xsi:type="dcterms:W3CDTF">2024-01-11T10:06:00Z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